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B3" w:rsidRPr="00AA3737" w:rsidRDefault="00CE22B3" w:rsidP="00CE22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Pr="00AA3737" w:rsidRDefault="00CE22B3" w:rsidP="00CE22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E22B3" w:rsidRPr="00AA3737" w:rsidRDefault="00CE22B3" w:rsidP="00CE22B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B3" w:rsidRPr="00AA3737" w:rsidRDefault="00CE22B3" w:rsidP="00CE22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CE22B3" w:rsidRDefault="003564A2" w:rsidP="00CE22B3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3564A2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01-03554/22и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 от 19 апреля 2022 года</w:t>
      </w:r>
      <w:bookmarkStart w:id="0" w:name="_GoBack"/>
      <w:bookmarkEnd w:id="0"/>
    </w:p>
    <w:p w:rsidR="00CE22B3" w:rsidRPr="00AA3737" w:rsidRDefault="00CE22B3" w:rsidP="00CE22B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B3" w:rsidRPr="00AA3737" w:rsidRDefault="00CE22B3" w:rsidP="00CE22B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B3" w:rsidRPr="00AA3737" w:rsidRDefault="00CE22B3" w:rsidP="00CE22B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CE22B3" w:rsidRPr="00AA3737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CE22B3" w:rsidRPr="00AA3737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E22B3" w:rsidRPr="00AA3737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CE22B3" w:rsidRPr="00AA3737" w:rsidRDefault="00CE22B3" w:rsidP="00CE22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2B3" w:rsidRPr="00AA3737" w:rsidRDefault="00CE22B3" w:rsidP="00CE22B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2B3" w:rsidRDefault="00CE22B3" w:rsidP="00CE22B3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E22B3" w:rsidRPr="00AA3737" w:rsidRDefault="00CE22B3" w:rsidP="00CE22B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CE22B3" w:rsidRPr="00AA3737" w:rsidRDefault="00CE22B3" w:rsidP="00CE22B3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CE22B3" w:rsidRPr="00CE3C11" w:rsidRDefault="00CE22B3" w:rsidP="00CE22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В связи с возгоранием автоцистерн с дизельным топливом и бензином, произошедшим 22 марта 2022 г. на территории частной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нефтебазы, </w:t>
      </w:r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расположенной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CE3C11">
        <w:rPr>
          <w:rFonts w:ascii="Times New Roman" w:eastAsia="Calibri" w:hAnsi="Times New Roman" w:cs="Times New Roman"/>
          <w:sz w:val="24"/>
          <w:szCs w:val="24"/>
        </w:rPr>
        <w:t>в промышленной зоне г. Кстово Нижегородской области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 в результате которого площадь пожара составила 500 кв.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C11">
        <w:rPr>
          <w:rFonts w:ascii="Times New Roman" w:eastAsia="Calibri" w:hAnsi="Times New Roman" w:cs="Times New Roman"/>
          <w:sz w:val="24"/>
          <w:szCs w:val="24"/>
        </w:rPr>
        <w:t>м,, специалистами ФГБУ «Верхне-Волжское УГМС» Росгидромета с использованием специального программного обеспечения был выполнен расчет переноса облака дыма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учетом реальных метеоусловий, результаты которого показали, что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C11">
        <w:rPr>
          <w:rFonts w:ascii="Times New Roman" w:eastAsia="Calibri" w:hAnsi="Times New Roman" w:cs="Times New Roman"/>
          <w:sz w:val="24"/>
          <w:szCs w:val="24"/>
        </w:rPr>
        <w:t>шлейф облака был направлен от г. Кстово в сторону лесного массива. Осуществлялось оперативное взаимодействие с Центр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 управления в кризисных ситуациях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E3C11">
        <w:rPr>
          <w:rFonts w:ascii="Times New Roman" w:eastAsia="Calibri" w:hAnsi="Times New Roman" w:cs="Times New Roman"/>
          <w:sz w:val="24"/>
          <w:szCs w:val="24"/>
        </w:rPr>
        <w:t>ЦУКС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лавного управления</w:t>
      </w:r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 МЧС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России </w:t>
      </w:r>
      <w:r w:rsidRPr="00CE3C11">
        <w:rPr>
          <w:rFonts w:ascii="Times New Roman" w:eastAsia="Calibri" w:hAnsi="Times New Roman" w:cs="Times New Roman"/>
          <w:sz w:val="24"/>
          <w:szCs w:val="24"/>
        </w:rPr>
        <w:t>по Нижегородской области в части  предоставления информации о метеорологических условиях.</w:t>
      </w:r>
    </w:p>
    <w:p w:rsidR="00CE22B3" w:rsidRPr="00CE3C11" w:rsidRDefault="00CE22B3" w:rsidP="00CE22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Жалоб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CE3C11">
        <w:rPr>
          <w:rFonts w:ascii="Times New Roman" w:eastAsia="Calibri" w:hAnsi="Times New Roman" w:cs="Times New Roman"/>
          <w:sz w:val="24"/>
          <w:szCs w:val="24"/>
        </w:rPr>
        <w:t>населения г. Кстово на неблагоприятное качество атмосферного воздуха не поступало.</w:t>
      </w:r>
    </w:p>
    <w:p w:rsidR="00CE22B3" w:rsidRPr="00781506" w:rsidRDefault="00CE22B3" w:rsidP="00CE22B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По результатам анализа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проб воздуха, </w:t>
      </w:r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отобранных на стационарных постах государственной наблюдательной сети за загрязнением атмосферного воздуха, расположенных в промышленной и жилой зонах города,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E3C11">
        <w:rPr>
          <w:rFonts w:ascii="Times New Roman" w:eastAsia="Calibri" w:hAnsi="Times New Roman" w:cs="Times New Roman"/>
          <w:sz w:val="24"/>
          <w:szCs w:val="24"/>
        </w:rPr>
        <w:t xml:space="preserve">ревышений предельно </w:t>
      </w:r>
      <w:r w:rsidRPr="00CE3C11">
        <w:rPr>
          <w:rFonts w:ascii="Times New Roman" w:eastAsia="Calibri" w:hAnsi="Times New Roman" w:cs="Times New Roman"/>
          <w:sz w:val="24"/>
          <w:szCs w:val="24"/>
        </w:rPr>
        <w:lastRenderedPageBreak/>
        <w:t>допустимых концентраций определяемых загрязняющих веществ не было выявлено, задымление воздуха не отмечалось.</w:t>
      </w:r>
      <w:proofErr w:type="gramEnd"/>
    </w:p>
    <w:p w:rsidR="00CE22B3" w:rsidRPr="00AA3737" w:rsidRDefault="00CE22B3" w:rsidP="00CE22B3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22B3" w:rsidRDefault="00CE22B3" w:rsidP="00CE22B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марта в реке </w:t>
      </w:r>
      <w:proofErr w:type="spellStart"/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 Камы) в 1 км ниже г. Бугульмы Республики Татарстан специалистами ФГБУ «УГМС Республики Татарстан» Росгидромета было зарегистрировано высокое загрязнение (ВЗ) речной воды азотом нитритным (19 ПДК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данным ФГБУ «УГМС Республики Татарстан» Росгидромета, ВЗ было обусловлено поступлением в реку недостаточ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очищенных сточных вод</w:t>
      </w:r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D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очистных сооружений ООО «Водоканал» г. Бугульмы Республики Татарстан.</w:t>
      </w:r>
    </w:p>
    <w:p w:rsidR="00CE22B3" w:rsidRPr="008322F4" w:rsidRDefault="00CE22B3" w:rsidP="00CE22B3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</w:t>
      </w:r>
    </w:p>
    <w:p w:rsidR="00CE22B3" w:rsidRPr="008322F4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</w:t>
      </w:r>
      <w:r w:rsidRPr="0083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поступившей в ФГБУ «Северо-Кавказское УГМС» Росгидромета из Главного управления МЧС России по Краснодарскому краю, 28 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3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станицы Днепровской </w:t>
      </w:r>
      <w:proofErr w:type="spellStart"/>
      <w:r w:rsidRPr="00832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Тимашевского</w:t>
      </w:r>
      <w:proofErr w:type="spellEnd"/>
      <w:r w:rsidRPr="0083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Краснодарского края (на автодороге </w:t>
      </w:r>
      <w:proofErr w:type="gramStart"/>
      <w:r w:rsidRPr="00832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Полтавская</w:t>
      </w:r>
      <w:proofErr w:type="gramEnd"/>
      <w:r w:rsidRPr="0083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Тимашевск) вследствие ДТП произошел разлив бензина на грунт. Объем разлитого бензина составил порядка 150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 загрязнения водных объектов отсутствует.</w:t>
      </w:r>
    </w:p>
    <w:p w:rsidR="00CE22B3" w:rsidRPr="00AA3737" w:rsidRDefault="00CE22B3" w:rsidP="00CE22B3">
      <w:pPr>
        <w:spacing w:before="24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CE22B3" w:rsidRPr="00AA3737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CE22B3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марта 2022 г. на метеостанциях Омской области (Исилькуль, Большие </w:t>
      </w:r>
      <w:proofErr w:type="spellStart"/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</w:t>
      </w:r>
      <w:proofErr w:type="spellEnd"/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Щербакуль</w:t>
      </w:r>
      <w:proofErr w:type="spellEnd"/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Тевриз, Тара, Седельниково и Знаменское) было зафиксировано выпадение окрашенных осадков желтого цвета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(признак ЭВЗ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обусловленное сложившейся синоптической ситуацией, способствующей поступлению воздушных масс с территории Казахстана, где в конце февраля отмечались пыльные бури.</w:t>
      </w:r>
      <w:proofErr w:type="gramEnd"/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Аналогичное выпадение окрашенных осадков, содержащих аэрозоли почвы, связанное с поступлением воздушных масс с территории Казахстана, отмечалось 26-27 февраля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Саратовской области </w:t>
      </w:r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2021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отмечался</w:t>
      </w:r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случай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ЭВЗ </w:t>
      </w:r>
      <w:r w:rsidRPr="00595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визуальным признакам).</w:t>
      </w:r>
    </w:p>
    <w:p w:rsidR="00CE22B3" w:rsidRPr="00AA3737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поверхностных вод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1-го и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2-го классов опасности (превышение ПДК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и более раз) наблюдательной сетью Росгидромета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раза         на 3 водных объектах (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марте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1года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наблюдательной сетью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63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0E64A5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был зарегистрирован один случай ЭВЗ на одном водном объекте                         </w:t>
      </w:r>
      <w:r w:rsidRPr="00252C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органолептическому признаку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марте 2021 года –                                  не зарегистрировано).  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-    109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CE22B3" w:rsidRPr="00AA3737" w:rsidRDefault="00CE22B3" w:rsidP="00CE22B3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CE22B3" w:rsidRDefault="00CE22B3" w:rsidP="00CE22B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CE22B3" w:rsidRPr="00B04C00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веществом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-го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по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анным непрерывных  наблюдений в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Нижний Тагил Свердловской области (1 случай,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10,1 </w:t>
      </w:r>
      <w:proofErr w:type="spellStart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и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Самара (2 случая,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 от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14,9 </w:t>
      </w:r>
      <w:proofErr w:type="spellStart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E22B3" w:rsidRPr="00B04C00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ВЗ атмосферного воздуха веществом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-го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диоксидом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непрерывных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наблюдений были зарегистрированы в г. Медногорск Оренбургской области (1 случай, 12,8  </w:t>
      </w:r>
      <w:proofErr w:type="spellStart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CE22B3" w:rsidRPr="00B04C00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марте 2022 г. в атмосферном воздухе 3 городов в 4 случаях по данным непрерывных наблюдений были зарегистрированы концентрации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марте 2021 года по данным непрерывных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были зарегистрированы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городе в 3 случаях, по данным дискретных наблюдений – в 3 городах в 3 случаях).</w:t>
      </w:r>
      <w:proofErr w:type="gramEnd"/>
    </w:p>
    <w:p w:rsidR="00CE22B3" w:rsidRPr="00B04C00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при суточном отборе проб атмосферного воздуха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Магнитогорск Челябинской области была зарегистрирована среднесуточная концентрация вещества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 опасности (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равная 15,1 </w:t>
      </w:r>
      <w:proofErr w:type="spellStart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B04C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CE22B3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Российской Федерации в феврале 2021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дискретных наблюдений высокие среднемесячные концентрации вещества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-го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опасности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 в г. Вихоревка Иркутской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76,3 ПДК), г. Новокузнецк Кемеровской области (2 случая, до </w:t>
      </w:r>
      <w:proofErr w:type="gramStart"/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г. Кемерово (1 случай,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16,6 ПДК), г. Свирск Иркутской области (1 случай, 24,9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Братск Иркутской области (2 случая, до 22,0 ПДК), г. Черемхово Иркутской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21,3 ПДК), г. Зима Иркутской области (2 случая, до 21,0 ПДК), г. Усолье-Сибирское Иркутской области (2 случая, до 13 ПДК), г. Бирюсинск Иркутской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04C00">
        <w:rPr>
          <w:rFonts w:ascii="Times New Roman" w:eastAsia="Times New Roman" w:hAnsi="Times New Roman" w:cs="Times New Roman"/>
          <w:sz w:val="24"/>
          <w:szCs w:val="24"/>
          <w:lang w:eastAsia="ru-RU"/>
        </w:rPr>
        <w:t>(1 случай, 12,6 ПДК).</w:t>
      </w:r>
      <w:proofErr w:type="gramEnd"/>
    </w:p>
    <w:p w:rsidR="00CE22B3" w:rsidRPr="00AA3737" w:rsidRDefault="00CE22B3" w:rsidP="00CE22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было зарегистрировано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180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2.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в бассейнах крупнейших рек страны,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2B3" w:rsidRPr="00AA3737" w:rsidRDefault="00CE22B3" w:rsidP="00CE22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E22B3" w:rsidRPr="00AA3737" w:rsidRDefault="00CE22B3" w:rsidP="00CE22B3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CE22B3" w:rsidRDefault="00CE22B3" w:rsidP="00CE22B3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CE22B3" w:rsidRPr="00AA3737" w:rsidTr="006C3B3D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E22B3" w:rsidRPr="00AA3737" w:rsidTr="006C3B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CE22B3" w:rsidRDefault="00CE22B3" w:rsidP="00CE22B3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реках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25% всех случаев ВЗ. </w:t>
      </w:r>
    </w:p>
    <w:p w:rsidR="00CE22B3" w:rsidRDefault="00CE22B3" w:rsidP="00CE22B3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случаев ВЗ по ингредиентам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2B3" w:rsidRPr="00AA3737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E22B3" w:rsidRPr="00AA3737" w:rsidRDefault="00CE22B3" w:rsidP="00CE22B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CE22B3" w:rsidRPr="00AA3737" w:rsidTr="006C3B3D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E58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 растворенный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Pr="00AA3737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Pr="00AA3737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натрия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хрома шестивалентного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Метанол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E22B3" w:rsidRPr="00AA3737" w:rsidTr="006C3B3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CE22B3" w:rsidRDefault="00CE22B3" w:rsidP="00CE22B3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Город Москва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22B3" w:rsidRPr="007D71F9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отмечался повышенный уровень загрязнения  атмосферного воздуха, который определялся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СИ=3,0 и НП=16,7%. 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загрязнения атмосферного воздуха определяли концентрации оксида углерода (СИ=3,0, НП=5,3%), диоксида азота (СИ=2,5, НП=16,7%) и аммиака (СИ=1,5, НП=3,5%).</w:t>
      </w:r>
      <w:proofErr w:type="gramEnd"/>
    </w:p>
    <w:p w:rsidR="00CE22B3" w:rsidRPr="007D71F9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достигали: оксида углерода – 3,0 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(район «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Зябликово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Южного административного округа г. Москвы) и диоксида азота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2,5 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(район «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Восточного административного округа г. Москвы)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2 марта при формировании в Московском регионе неблагоприятных для рассеивания загрязняющих веществ метеорологических условий.</w:t>
      </w:r>
    </w:p>
    <w:p w:rsidR="00CE22B3" w:rsidRPr="007D71F9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Превышения разовых концентраций загрязняющих веществ были зарегистрированы:</w:t>
      </w:r>
    </w:p>
    <w:p w:rsidR="00CE22B3" w:rsidRPr="007D71F9" w:rsidRDefault="00CE22B3" w:rsidP="00CE22B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 углерода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1-2,1 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(НП=1-3%) в Центральном (район «Замоскворечье»), Северном (район «Дмитровский»), Восточном (район «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Юго-Восточном (район «Печатники») и Южном (район «Чертаново Центральное») административных округах г. Москвы;</w:t>
      </w:r>
      <w:proofErr w:type="gramEnd"/>
    </w:p>
    <w:p w:rsidR="00CE22B3" w:rsidRPr="007D71F9" w:rsidRDefault="00CE22B3" w:rsidP="00CE22B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диоксида азота – 1,1-1,2 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(НП=1-5%) в Северном (районы «Савеловский» и «Дмитровский»), Западном (район «Можайский»), Юго-Восточном (район «Рязанский»), Южном (районы «Нагорный» и «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Зябликово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») административных округах г. Москвы;</w:t>
      </w:r>
      <w:proofErr w:type="gramEnd"/>
    </w:p>
    <w:p w:rsidR="00CE22B3" w:rsidRPr="007D71F9" w:rsidRDefault="00CE22B3" w:rsidP="00CE22B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аммиака – 1,1-1,5 </w:t>
      </w:r>
      <w:proofErr w:type="spellStart"/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7D71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Центральном (район «Замоскворечье») и Северо-Западном (район «Южное Тушино») административных округах г. Москвы.</w:t>
      </w:r>
      <w:proofErr w:type="gramEnd"/>
    </w:p>
    <w:p w:rsidR="00CE22B3" w:rsidRPr="007D71F9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Концентрации оксида азота, взвешенных веществ, фенола, хлорида водорода, сероводорода, формальдегида, ацетона, этилбензола, бензола, толуола и ксилола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атмосферном воздухе в целом по городу не превышали установленных гигиенических нормативов. Содержание диоксида серы в воздухе было ниже предела обнаружения.</w:t>
      </w:r>
    </w:p>
    <w:p w:rsidR="00CE22B3" w:rsidRPr="007D71F9" w:rsidRDefault="00CE22B3" w:rsidP="00CE22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превышали установленных гигиенических нормативов.</w:t>
      </w:r>
    </w:p>
    <w:p w:rsidR="00CE22B3" w:rsidRPr="00106C8E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</w:t>
      </w:r>
      <w:r w:rsidRPr="006D5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обстановка 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марте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Чернобыльской АЭС и ФГУП «ПО «Маяк», и были на 2 - 7 порядков ниже допустимых уровней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установленных в соответствии с гигиеническими нормативами.</w:t>
      </w:r>
    </w:p>
    <w:p w:rsidR="00CE22B3" w:rsidRPr="00106C8E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плотности радиоактивных выпадений из воздуха, обусловленные естественными процессами, отмечались в 3 случаях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2 населенных пунктах: в г. Волгограде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(23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-24 марта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пос. Туруханске Красноярского края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(в периоды с 9 по 10 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и с 12 по 13 марта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E22B3" w:rsidRPr="00106C8E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регистрации повышенной суммарной объемной радиоактивности приземного воздуха, обусловленные естественными процессами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отмечались в 2 случаях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2 населенных пунктах: в г. Томске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с 17 по 21 марта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пос. Большая Мурта Красноярского края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с 17 по 18 марта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E22B3" w:rsidRPr="00106C8E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данным ежедневных измерений </w:t>
      </w:r>
      <w:r w:rsidRPr="00686F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мощности </w:t>
      </w:r>
      <w:proofErr w:type="spellStart"/>
      <w:r w:rsidRPr="00686FC3">
        <w:rPr>
          <w:rFonts w:ascii="Times New Roman" w:eastAsia="Times New Roman" w:hAnsi="Times New Roman" w:cs="Times New Roman"/>
          <w:sz w:val="24"/>
          <w:szCs w:val="20"/>
          <w:lang w:eastAsia="ru-RU"/>
        </w:rPr>
        <w:t>амбиентного</w:t>
      </w:r>
      <w:proofErr w:type="spellEnd"/>
      <w:r w:rsidRPr="00686F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),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100-километровых зонах расположения АЭС и других </w:t>
      </w:r>
      <w:proofErr w:type="spellStart"/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опасных объектов значения находились в пределах от 0,04 до 0,24 </w:t>
      </w:r>
      <w:proofErr w:type="spellStart"/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мкЗв</w:t>
      </w:r>
      <w:proofErr w:type="spellEnd"/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/ч, что соответствует уровням естественного радиационного фона.  </w:t>
      </w:r>
    </w:p>
    <w:p w:rsidR="00CE22B3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Минимальные и максимальные значения МАЭД в 100-км зонах </w:t>
      </w:r>
      <w:proofErr w:type="spellStart"/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опасных</w:t>
      </w:r>
      <w:r w:rsidRPr="00106C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объектов представлены в приложении 4.</w:t>
      </w:r>
    </w:p>
    <w:p w:rsidR="00CE22B3" w:rsidRPr="004E0AFD" w:rsidRDefault="00CE22B3" w:rsidP="00CE2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CE22B3" w:rsidRPr="00AA3737" w:rsidRDefault="00CE22B3" w:rsidP="00CE22B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CE22B3" w:rsidRPr="00AA3737" w:rsidRDefault="00CE22B3" w:rsidP="00CE22B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Pr="00AA3737" w:rsidRDefault="00CE22B3" w:rsidP="00CE22B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C70" w:rsidRDefault="005F0C7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22B3" w:rsidRDefault="00CE22B3" w:rsidP="00CE22B3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CE22B3" w:rsidRDefault="00CE22B3" w:rsidP="00CE22B3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марте 2022 года</w:t>
      </w:r>
    </w:p>
    <w:p w:rsidR="00CE22B3" w:rsidRPr="00D5335E" w:rsidRDefault="00CE22B3" w:rsidP="00CE22B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569"/>
        <w:gridCol w:w="2211"/>
        <w:gridCol w:w="2498"/>
        <w:gridCol w:w="1708"/>
      </w:tblGrid>
      <w:tr w:rsidR="00CE22B3" w:rsidRPr="00D5335E" w:rsidTr="006C3B3D">
        <w:trPr>
          <w:cantSplit/>
          <w:trHeight w:val="28"/>
          <w:tblHeader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5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E22B3" w:rsidRPr="00D5335E" w:rsidTr="006C3B3D">
        <w:trPr>
          <w:cantSplit/>
        </w:trPr>
        <w:tc>
          <w:tcPr>
            <w:tcW w:w="9469" w:type="dxa"/>
            <w:gridSpan w:val="5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9" w:type="dxa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Пышма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Березовский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2B3" w:rsidRPr="00D5335E" w:rsidTr="006C3B3D">
        <w:trPr>
          <w:cantSplit/>
        </w:trPr>
        <w:tc>
          <w:tcPr>
            <w:tcW w:w="9469" w:type="dxa"/>
            <w:gridSpan w:val="5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2 класса опасности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Карасук, </w:t>
            </w:r>
            <w:proofErr w:type="gram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Черновка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E22B3" w:rsidRPr="00D5335E" w:rsidTr="006C3B3D">
        <w:trPr>
          <w:cantSplit/>
        </w:trPr>
        <w:tc>
          <w:tcPr>
            <w:tcW w:w="9469" w:type="dxa"/>
            <w:gridSpan w:val="5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</w:t>
            </w:r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Ляля, г. Новая Ляля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Рудная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proofErr w:type="gram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Краснореченский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Тауй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Талон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Тея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Тея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6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353</w:t>
            </w:r>
          </w:p>
        </w:tc>
      </w:tr>
      <w:tr w:rsidR="00CE22B3" w:rsidRPr="00D5335E" w:rsidTr="006C3B3D">
        <w:trPr>
          <w:cantSplit/>
        </w:trPr>
        <w:tc>
          <w:tcPr>
            <w:tcW w:w="9469" w:type="dxa"/>
            <w:gridSpan w:val="5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9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Волчихинское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Новоалексеевское</w:t>
            </w:r>
            <w:proofErr w:type="spellEnd"/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вдхр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Клязьминское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Дубрава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вдхр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Курганское,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Курган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314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  <w:vMerge w:val="restart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Авлуха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Красный Яр </w:t>
            </w:r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Ельцовка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Каменка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Карасук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Черновка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Каргат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Здвинск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162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Можель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Ковдор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Нижняя Ельцовка,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E22B3" w:rsidRPr="007A007F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vMerge w:val="restart"/>
          </w:tcPr>
          <w:p w:rsidR="00CE22B3" w:rsidRPr="007A007F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7A0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Нягань-Юган</w:t>
            </w:r>
            <w:proofErr w:type="spellEnd"/>
            <w:r w:rsidRPr="007A0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22B3" w:rsidRPr="007A007F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7A0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7A0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vMerge/>
          </w:tcPr>
          <w:p w:rsidR="00CE22B3" w:rsidRPr="007A007F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  <w:vMerge w:val="restart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Обь, п. Белый Яр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  <w:vMerge w:val="restart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Обь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proofErr w:type="gram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Октябрьское</w:t>
            </w:r>
            <w:proofErr w:type="spellEnd"/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0,72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0,72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9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Калачинск</w:t>
            </w:r>
            <w:proofErr w:type="spellEnd"/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69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</w:t>
            </w:r>
            <w:proofErr w:type="spellEnd"/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9" w:type="dxa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Оша,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Большие Кучки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Патрушиха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7A007F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Плющиха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9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  <w:proofErr w:type="gram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Хетта,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Пангоды</w:t>
            </w:r>
            <w:proofErr w:type="spellEnd"/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Пур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Уренгой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Пыра, п. Первое Мая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Сороминская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Руфьеганское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нефтяное месторождение</w:t>
            </w:r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69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Тавда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Тавда</w:t>
            </w:r>
            <w:proofErr w:type="spellEnd"/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69" w:type="dxa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Тара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proofErr w:type="gram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Муромцево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Тара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Кыштовка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7A007F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69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</w:t>
            </w:r>
            <w:proofErr w:type="spellEnd"/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Тобольск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Белозерское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Звериноголовское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д.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Тимофеево</w:t>
            </w:r>
            <w:proofErr w:type="spellEnd"/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1,98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AD6C6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Уй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Степное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Усть-Уйское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69" w:type="dxa"/>
            <w:vMerge w:val="restart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Устья,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Октябрьский  </w:t>
            </w:r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A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AD71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CE22B3" w:rsidRPr="00AD7121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ED7F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Чусовая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E22B3" w:rsidRPr="00D5335E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Первоуральск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7A007F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Шиш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Васисc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 w:val="restart"/>
          </w:tcPr>
          <w:p w:rsidR="00CE22B3" w:rsidRPr="002F1188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9" w:type="dxa"/>
            <w:vMerge w:val="restart"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Казлук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vMerge w:val="restart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498" w:type="dxa"/>
            <w:vMerge w:val="restart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A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AD71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CE22B3" w:rsidRPr="00AD7121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  <w:vMerge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E22B3" w:rsidRPr="00AD7121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2F1188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8" w:type="dxa"/>
          </w:tcPr>
          <w:p w:rsidR="00CE22B3" w:rsidRPr="00AD712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A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E22B3" w:rsidRPr="00AD7121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2B3" w:rsidRPr="00D5335E" w:rsidTr="006C3B3D">
        <w:trPr>
          <w:cantSplit/>
        </w:trPr>
        <w:tc>
          <w:tcPr>
            <w:tcW w:w="9469" w:type="dxa"/>
            <w:gridSpan w:val="5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органолептическим и другим показателям</w:t>
            </w:r>
          </w:p>
        </w:tc>
      </w:tr>
      <w:tr w:rsidR="00CE22B3" w:rsidRPr="00D5335E" w:rsidTr="006C3B3D">
        <w:trPr>
          <w:cantSplit/>
        </w:trPr>
        <w:tc>
          <w:tcPr>
            <w:tcW w:w="483" w:type="dxa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9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Черемушка</w:t>
            </w:r>
            <w:proofErr w:type="spellEnd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устье</w:t>
            </w:r>
            <w:proofErr w:type="spellEnd"/>
          </w:p>
        </w:tc>
        <w:tc>
          <w:tcPr>
            <w:tcW w:w="2211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98" w:type="dxa"/>
          </w:tcPr>
          <w:p w:rsidR="00CE22B3" w:rsidRPr="00D5335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Запах</w:t>
            </w:r>
            <w:proofErr w:type="spellEnd"/>
          </w:p>
        </w:tc>
        <w:tc>
          <w:tcPr>
            <w:tcW w:w="1708" w:type="dxa"/>
            <w:vAlign w:val="center"/>
          </w:tcPr>
          <w:p w:rsidR="00CE22B3" w:rsidRPr="00D5335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5,0</w:t>
            </w:r>
            <w:r w:rsidRPr="00D533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</w:tr>
    </w:tbl>
    <w:p w:rsidR="00CE22B3" w:rsidRPr="00D5335E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Pr="00CC69AB" w:rsidRDefault="00CE22B3" w:rsidP="00CE22B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</w:t>
      </w:r>
      <w:r w:rsidRPr="00CC69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растворенного кислорода в концентрациях 2 и менее мг/л; </w:t>
      </w:r>
    </w:p>
    <w:p w:rsidR="00CE22B3" w:rsidRDefault="00CE22B3" w:rsidP="00CE22B3">
      <w:pPr>
        <w:jc w:val="both"/>
        <w:rPr>
          <w:rFonts w:ascii="Times New Roman" w:hAnsi="Times New Roman" w:cs="Times New Roman"/>
          <w:sz w:val="20"/>
          <w:szCs w:val="20"/>
        </w:rPr>
      </w:pPr>
      <w:r w:rsidRPr="00AD7121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CC69AB">
        <w:rPr>
          <w:rFonts w:ascii="Times New Roman" w:hAnsi="Times New Roman" w:cs="Times New Roman"/>
          <w:sz w:val="20"/>
          <w:szCs w:val="20"/>
        </w:rPr>
        <w:t xml:space="preserve">- в баллах; признаком ЭВЗ является появление несвойственного ранее воде запаха интенсивностью более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C69AB">
        <w:rPr>
          <w:rFonts w:ascii="Times New Roman" w:hAnsi="Times New Roman" w:cs="Times New Roman"/>
          <w:sz w:val="20"/>
          <w:szCs w:val="20"/>
        </w:rPr>
        <w:t>4 баллов</w:t>
      </w:r>
    </w:p>
    <w:p w:rsidR="00CE22B3" w:rsidRDefault="00CE22B3" w:rsidP="00CE22B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22B3" w:rsidRPr="00CC69AB" w:rsidRDefault="00CE22B3" w:rsidP="00CE22B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22B3" w:rsidRDefault="00CE22B3" w:rsidP="00CE22B3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Default="00CE22B3"/>
    <w:p w:rsidR="00CE22B3" w:rsidRPr="006C2425" w:rsidRDefault="00CE22B3" w:rsidP="00CE22B3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E22B3" w:rsidRPr="00897A37" w:rsidRDefault="00CE22B3" w:rsidP="00CE22B3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22B3" w:rsidRPr="006C2425" w:rsidRDefault="00CE22B3" w:rsidP="00CE22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E22B3" w:rsidRPr="00B64E10" w:rsidRDefault="00CE22B3" w:rsidP="00CE22B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3"/>
        <w:gridCol w:w="2288"/>
        <w:gridCol w:w="1134"/>
        <w:gridCol w:w="1059"/>
        <w:gridCol w:w="1135"/>
        <w:gridCol w:w="1172"/>
      </w:tblGrid>
      <w:tr w:rsidR="00CE22B3" w:rsidRPr="00B64E10" w:rsidTr="006C3B3D">
        <w:trPr>
          <w:cantSplit/>
          <w:trHeight w:val="626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CE22B3" w:rsidRPr="00B64E10" w:rsidTr="006C3B3D">
        <w:trPr>
          <w:cantSplit/>
        </w:trPr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Хабаровский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CE22B3" w:rsidRPr="00094BF9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094BF9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094BF9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CE22B3" w:rsidRPr="00094BF9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094BF9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CE22B3" w:rsidRPr="000A2E14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A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A2E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0A2E14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Бассейн р. </w:t>
            </w:r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Иртыш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9E03C2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281E2A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х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шестивалентного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Марганец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Кемеровская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E77ACA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E77ACA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E77ACA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Ханты-Мансийский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E77ACA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CE22B3" w:rsidRPr="00E77ACA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E77ACA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706135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06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70613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706135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06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70613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70613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16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11324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11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1132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11324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vAlign w:val="center"/>
          </w:tcPr>
          <w:p w:rsidR="00CE22B3" w:rsidRPr="0011324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9B7D2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B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B7D2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9B7D2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2" w:type="dxa"/>
            <w:vAlign w:val="center"/>
          </w:tcPr>
          <w:p w:rsidR="00CE22B3" w:rsidRPr="009B7D2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Архангельская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атри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16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Метанол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288" w:type="dxa"/>
          </w:tcPr>
          <w:p w:rsidR="00CE22B3" w:rsidRPr="0050188D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50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5018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50188D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  <w:vAlign w:val="center"/>
          </w:tcPr>
          <w:p w:rsidR="00CE22B3" w:rsidRPr="0050188D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Бассейн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p.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401105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40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0110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5" w:type="dxa"/>
            <w:vAlign w:val="center"/>
          </w:tcPr>
          <w:p w:rsidR="00CE22B3" w:rsidRPr="0040110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vAlign w:val="center"/>
          </w:tcPr>
          <w:p w:rsidR="00CE22B3" w:rsidRPr="00401105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2,2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2,7</w:t>
            </w: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401105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7A51A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F21396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7A51A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7A51A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7A51A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7A51A1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2B3" w:rsidRPr="00B64E10" w:rsidTr="006C3B3D">
        <w:tc>
          <w:tcPr>
            <w:tcW w:w="9469" w:type="dxa"/>
            <w:gridSpan w:val="7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реки</w:t>
            </w:r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CE22B3" w:rsidRPr="008437EB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4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437E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8437EB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8437EB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4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437E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8437EB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27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Бенз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(а)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пирен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0E68CA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0E68CA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26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E37B3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24222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E37B3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24222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</w:t>
            </w:r>
            <w:proofErr w:type="spellEnd"/>
          </w:p>
        </w:tc>
        <w:tc>
          <w:tcPr>
            <w:tcW w:w="2288" w:type="dxa"/>
          </w:tcPr>
          <w:p w:rsidR="00CE22B3" w:rsidRPr="00E37B3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E3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E37B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2" w:type="dxa"/>
            <w:vAlign w:val="center"/>
          </w:tcPr>
          <w:p w:rsidR="00CE22B3" w:rsidRPr="00E37B3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E22B3" w:rsidRPr="00B64E10" w:rsidTr="006C3B3D">
        <w:tc>
          <w:tcPr>
            <w:tcW w:w="458" w:type="dxa"/>
          </w:tcPr>
          <w:p w:rsidR="00CE22B3" w:rsidRPr="0024222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3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CE22B3" w:rsidRPr="00E37B3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24222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Сахалинская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Хлоpиды</w:t>
            </w:r>
            <w:proofErr w:type="spellEnd"/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CE22B3" w:rsidRPr="00B64E10" w:rsidTr="006C3B3D">
        <w:tc>
          <w:tcPr>
            <w:tcW w:w="458" w:type="dxa"/>
            <w:vMerge w:val="restart"/>
          </w:tcPr>
          <w:p w:rsidR="00CE22B3" w:rsidRPr="0024222E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CE22B3" w:rsidRPr="00B64E10" w:rsidTr="006C3B3D">
        <w:tc>
          <w:tcPr>
            <w:tcW w:w="458" w:type="dxa"/>
            <w:vMerge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CE22B3" w:rsidRPr="00B64E10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CE22B3" w:rsidRPr="00E37B3E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CE22B3" w:rsidRPr="00B64E1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64E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</w:tbl>
    <w:p w:rsidR="00CE22B3" w:rsidRPr="00B64E10" w:rsidRDefault="00CE22B3" w:rsidP="00CE2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E22B3" w:rsidRPr="00AC1C90" w:rsidRDefault="00CE22B3" w:rsidP="00CE22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Pr="00E22E0D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2B3" w:rsidRDefault="00CE22B3" w:rsidP="00CE22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2B3" w:rsidRDefault="00CE22B3" w:rsidP="00CE22B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CE22B3" w:rsidRDefault="00CE22B3" w:rsidP="00CE22B3"/>
    <w:p w:rsidR="00CE22B3" w:rsidRDefault="00CE22B3" w:rsidP="00CE22B3"/>
    <w:p w:rsidR="00CE22B3" w:rsidRDefault="00CE22B3"/>
    <w:p w:rsidR="00CE22B3" w:rsidRDefault="00CE22B3"/>
    <w:p w:rsidR="00CE22B3" w:rsidRDefault="00CE22B3"/>
    <w:p w:rsidR="00CE22B3" w:rsidRPr="00E33D50" w:rsidRDefault="00CE22B3" w:rsidP="00CE22B3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2664841" wp14:editId="08EED4F6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CE22B3" w:rsidRPr="00E33D50" w:rsidRDefault="00CE22B3" w:rsidP="006C3B3D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CE22B3" w:rsidRPr="00E33D50" w:rsidRDefault="00CE22B3" w:rsidP="006C3B3D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CE22B3" w:rsidRPr="00E33D50" w:rsidTr="006C3B3D">
        <w:tc>
          <w:tcPr>
            <w:tcW w:w="95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E22B3" w:rsidRPr="00E33D50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CE22B3" w:rsidRPr="00E33D50" w:rsidRDefault="00CE22B3" w:rsidP="00CE22B3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CE22B3" w:rsidRPr="00E33D50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22B3" w:rsidRPr="00E33D50" w:rsidRDefault="00CE22B3" w:rsidP="00CE22B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Pr="00E33D50" w:rsidRDefault="00CE22B3" w:rsidP="00CE22B3">
      <w:pPr>
        <w:rPr>
          <w:rFonts w:ascii="Calibri" w:eastAsia="Times New Roman" w:hAnsi="Calibri" w:cs="Times New Roman"/>
          <w:lang w:eastAsia="ru-RU"/>
        </w:rPr>
      </w:pPr>
    </w:p>
    <w:p w:rsidR="00CE22B3" w:rsidRPr="00E33D50" w:rsidRDefault="00CE22B3" w:rsidP="00CE22B3"/>
    <w:p w:rsidR="00CE22B3" w:rsidRPr="00E33D50" w:rsidRDefault="00CE22B3" w:rsidP="00CE22B3"/>
    <w:p w:rsidR="00CE22B3" w:rsidRPr="00E33D50" w:rsidRDefault="00CE22B3" w:rsidP="00CE22B3"/>
    <w:p w:rsidR="00CE22B3" w:rsidRPr="00E33D50" w:rsidRDefault="00CE22B3" w:rsidP="00CE22B3"/>
    <w:p w:rsidR="00CE22B3" w:rsidRPr="00E33D50" w:rsidRDefault="00CE22B3" w:rsidP="00CE22B3"/>
    <w:p w:rsidR="00CE22B3" w:rsidRPr="00E33D50" w:rsidRDefault="00CE22B3" w:rsidP="00CE22B3"/>
    <w:p w:rsidR="00CE22B3" w:rsidRPr="00E33D50" w:rsidRDefault="00CE22B3" w:rsidP="00CE22B3"/>
    <w:p w:rsidR="00CE22B3" w:rsidRDefault="00CE22B3" w:rsidP="00CE22B3"/>
    <w:p w:rsidR="00CE22B3" w:rsidRDefault="00CE22B3" w:rsidP="00CE22B3"/>
    <w:p w:rsidR="00CE22B3" w:rsidRDefault="00CE22B3" w:rsidP="00CE22B3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CE22B3" w:rsidRPr="0007052E" w:rsidRDefault="00CE22B3" w:rsidP="00CE22B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22B3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CE22B3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CE22B3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2022 года</w:t>
      </w:r>
    </w:p>
    <w:p w:rsidR="00CE22B3" w:rsidRDefault="00CE22B3" w:rsidP="00CE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CE22B3" w:rsidTr="006C3B3D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CE22B3" w:rsidTr="006C3B3D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E22B3" w:rsidTr="006C3B3D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CE22B3" w:rsidTr="006C3B3D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E22B3" w:rsidTr="006C3B3D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0,24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CE22B3" w:rsidRDefault="00CE22B3" w:rsidP="006C3B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E22B3" w:rsidTr="006C3B3D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B3" w:rsidRDefault="00CE22B3" w:rsidP="006C3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</w:tbl>
    <w:p w:rsidR="00CE22B3" w:rsidRDefault="00CE22B3" w:rsidP="00CE22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3" w:rsidRDefault="00CE22B3" w:rsidP="00CE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CE22B3" w:rsidRDefault="00CE22B3" w:rsidP="00CE22B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22B3" w:rsidRDefault="00CE22B3" w:rsidP="00CE22B3"/>
    <w:p w:rsidR="00CE22B3" w:rsidRDefault="00CE22B3" w:rsidP="00CE22B3"/>
    <w:p w:rsidR="00CE22B3" w:rsidRDefault="00CE22B3"/>
    <w:p w:rsidR="00CE22B3" w:rsidRDefault="00CE22B3"/>
    <w:sectPr w:rsidR="00CE22B3" w:rsidSect="00D35C3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5F" w:rsidRDefault="00D9505F" w:rsidP="00CE22B3">
      <w:pPr>
        <w:spacing w:after="0" w:line="240" w:lineRule="auto"/>
      </w:pPr>
      <w:r>
        <w:separator/>
      </w:r>
    </w:p>
  </w:endnote>
  <w:endnote w:type="continuationSeparator" w:id="0">
    <w:p w:rsidR="00D9505F" w:rsidRDefault="00D9505F" w:rsidP="00CE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5F" w:rsidRDefault="00D9505F" w:rsidP="00CE22B3">
      <w:pPr>
        <w:spacing w:after="0" w:line="240" w:lineRule="auto"/>
      </w:pPr>
      <w:r>
        <w:separator/>
      </w:r>
    </w:p>
  </w:footnote>
  <w:footnote w:type="continuationSeparator" w:id="0">
    <w:p w:rsidR="00D9505F" w:rsidRDefault="00D9505F" w:rsidP="00CE22B3">
      <w:pPr>
        <w:spacing w:after="0" w:line="240" w:lineRule="auto"/>
      </w:pPr>
      <w:r>
        <w:continuationSeparator/>
      </w:r>
    </w:p>
  </w:footnote>
  <w:footnote w:id="1">
    <w:p w:rsidR="00CE22B3" w:rsidRPr="00AD7929" w:rsidRDefault="00CE22B3" w:rsidP="00CE22B3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AD7929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AD7929">
        <w:rPr>
          <w:rFonts w:ascii="Times New Roman" w:hAnsi="Times New Roman" w:cs="Times New Roman"/>
        </w:rPr>
        <w:t>рыбохозяйственных</w:t>
      </w:r>
      <w:proofErr w:type="spellEnd"/>
      <w:r w:rsidRPr="00AD7929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CE22B3" w:rsidRPr="006B31C7" w:rsidRDefault="00CE22B3" w:rsidP="00CE22B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>ПДК</w:t>
      </w:r>
      <w:r w:rsidRPr="006B31C7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м.р</w:t>
      </w:r>
      <w:proofErr w:type="spellEnd"/>
      <w:r w:rsidRPr="006B31C7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.</w:t>
      </w: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>):</w:t>
      </w:r>
    </w:p>
    <w:p w:rsidR="00CE22B3" w:rsidRPr="006B31C7" w:rsidRDefault="00CE22B3" w:rsidP="00CE22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в 20-29 раз при сохранении этого уровня более 2-х суток;</w:t>
      </w:r>
    </w:p>
    <w:p w:rsidR="00CE22B3" w:rsidRPr="006B31C7" w:rsidRDefault="00CE22B3" w:rsidP="00CE22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в 30-49 раз при сохранении этого уровня от 8 часов и более;</w:t>
      </w:r>
    </w:p>
    <w:p w:rsidR="00CE22B3" w:rsidRPr="006B31C7" w:rsidRDefault="00CE22B3" w:rsidP="00CE22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в 50 и более раз;</w:t>
      </w:r>
    </w:p>
    <w:p w:rsidR="00CE22B3" w:rsidRPr="006B31C7" w:rsidRDefault="00CE22B3" w:rsidP="00CE22B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>визуальные и органолептические признаки: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появление устойчивого, не свойственного данной местности (сезону) запаха;</w:t>
      </w:r>
    </w:p>
    <w:p w:rsidR="00CE22B3" w:rsidRPr="006B31C7" w:rsidRDefault="00CE22B3" w:rsidP="00CE22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>обнаружение влияния воздуха на органы чувств человека;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</w:t>
      </w:r>
      <w:r w:rsidRPr="006B31C7">
        <w:rPr>
          <w:rFonts w:ascii="Times New Roman" w:eastAsia="Times New Roman" w:hAnsi="Times New Roman" w:cs="Times New Roman"/>
          <w:sz w:val="16"/>
          <w:szCs w:val="16"/>
          <w:lang w:eastAsia="ru-RU"/>
        </w:rPr>
        <w:t>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CE22B3" w:rsidRDefault="00CE22B3" w:rsidP="00CE22B3">
      <w:pPr>
        <w:pStyle w:val="a5"/>
      </w:pPr>
    </w:p>
  </w:footnote>
  <w:footnote w:id="3">
    <w:p w:rsidR="00CE22B3" w:rsidRDefault="00CE22B3" w:rsidP="00CE22B3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496982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496982">
        <w:rPr>
          <w:rFonts w:ascii="Times New Roman" w:hAnsi="Times New Roman" w:cs="Times New Roman"/>
        </w:rPr>
        <w:t>ПДКм.р</w:t>
      </w:r>
      <w:proofErr w:type="spellEnd"/>
      <w:r w:rsidRPr="00496982">
        <w:rPr>
          <w:rFonts w:ascii="Times New Roman" w:hAnsi="Times New Roman" w:cs="Times New Roman"/>
        </w:rPr>
        <w:t>.) в 10 и более раз</w:t>
      </w:r>
    </w:p>
  </w:footnote>
  <w:footnote w:id="4">
    <w:p w:rsidR="00CE22B3" w:rsidRPr="00906633" w:rsidRDefault="00CE22B3" w:rsidP="00CE22B3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906633">
        <w:rPr>
          <w:rFonts w:ascii="Times New Roman" w:hAnsi="Times New Roman" w:cs="Times New Roman"/>
        </w:rPr>
        <w:t xml:space="preserve">максимальная из </w:t>
      </w:r>
      <w:proofErr w:type="gramStart"/>
      <w:r w:rsidRPr="00906633">
        <w:rPr>
          <w:rFonts w:ascii="Times New Roman" w:hAnsi="Times New Roman" w:cs="Times New Roman"/>
        </w:rPr>
        <w:t>среднемесячных</w:t>
      </w:r>
      <w:proofErr w:type="gramEnd"/>
      <w:r w:rsidRPr="00906633">
        <w:rPr>
          <w:rFonts w:ascii="Times New Roman" w:hAnsi="Times New Roman" w:cs="Times New Roman"/>
        </w:rPr>
        <w:t xml:space="preserve"> концентрация, деленная на </w:t>
      </w:r>
      <w:proofErr w:type="spellStart"/>
      <w:r w:rsidRPr="00906633">
        <w:rPr>
          <w:rFonts w:ascii="Times New Roman" w:hAnsi="Times New Roman" w:cs="Times New Roman"/>
        </w:rPr>
        <w:t>ПДК</w:t>
      </w:r>
      <w:r w:rsidRPr="00906633">
        <w:rPr>
          <w:rFonts w:ascii="Times New Roman" w:hAnsi="Times New Roman" w:cs="Times New Roman"/>
          <w:vertAlign w:val="subscript"/>
        </w:rPr>
        <w:t>с.с</w:t>
      </w:r>
      <w:proofErr w:type="spellEnd"/>
      <w:r w:rsidRPr="00906633">
        <w:rPr>
          <w:rFonts w:ascii="Times New Roman" w:hAnsi="Times New Roman" w:cs="Times New Roman"/>
          <w:vertAlign w:val="subscript"/>
        </w:rPr>
        <w:t>.</w:t>
      </w:r>
    </w:p>
  </w:footnote>
  <w:footnote w:id="5"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1952A0">
        <w:rPr>
          <w:rFonts w:ascii="Times New Roman" w:hAnsi="Times New Roman" w:cs="Times New Roman"/>
        </w:rPr>
        <w:t>Степень загрязнения атмосферного воздуха оценивается  при сравнении концентраций примесей (в мг/м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, мкг/м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) с ПДК – предельно допустимыми концентрациями примесей, установленными  Минздравом России.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952A0">
        <w:rPr>
          <w:rFonts w:ascii="Times New Roman" w:hAnsi="Times New Roman" w:cs="Times New Roman"/>
        </w:rPr>
        <w:t xml:space="preserve">Для оценки уровня загрязнения атмосферного воздуха за месяц используются два показателя качества воздуха: 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</w:t>
      </w:r>
      <w:r>
        <w:rPr>
          <w:rFonts w:ascii="Times New Roman" w:hAnsi="Times New Roman" w:cs="Times New Roman"/>
        </w:rPr>
        <w:t xml:space="preserve">трация примеси, деленная на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>;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наибольш</w:t>
      </w:r>
      <w:r>
        <w:rPr>
          <w:rFonts w:ascii="Times New Roman" w:hAnsi="Times New Roman" w:cs="Times New Roman"/>
        </w:rPr>
        <w:t xml:space="preserve">ая повторяемость превышения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 xml:space="preserve"> – НП, %.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Уровень загрязнения воздуха </w:t>
      </w:r>
      <w:r w:rsidRPr="001952A0">
        <w:rPr>
          <w:rFonts w:ascii="Times New Roman" w:hAnsi="Times New Roman" w:cs="Times New Roman"/>
        </w:rPr>
        <w:t>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низкий</w:t>
      </w:r>
      <w:proofErr w:type="gramEnd"/>
      <w:r w:rsidRPr="001952A0">
        <w:rPr>
          <w:rFonts w:ascii="Times New Roman" w:hAnsi="Times New Roman" w:cs="Times New Roman"/>
        </w:rPr>
        <w:t xml:space="preserve"> при СИ =  0-1 , НП = 0%;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повышенный</w:t>
      </w:r>
      <w:proofErr w:type="gramEnd"/>
      <w:r w:rsidRPr="001952A0">
        <w:rPr>
          <w:rFonts w:ascii="Times New Roman" w:hAnsi="Times New Roman" w:cs="Times New Roman"/>
        </w:rPr>
        <w:t xml:space="preserve"> при СИ =2-4, НП = 1-19%;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СИ=5-10; НП=20-49%;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очень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 &gt;10; НП ≥50%.</w:t>
      </w:r>
    </w:p>
    <w:p w:rsidR="00CE22B3" w:rsidRPr="001952A0" w:rsidRDefault="00CE22B3" w:rsidP="00CE22B3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50739"/>
      <w:docPartObj>
        <w:docPartGallery w:val="Page Numbers (Top of Page)"/>
        <w:docPartUnique/>
      </w:docPartObj>
    </w:sdtPr>
    <w:sdtEndPr/>
    <w:sdtContent>
      <w:p w:rsidR="0077690A" w:rsidRDefault="00AD79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4A2">
          <w:rPr>
            <w:noProof/>
          </w:rPr>
          <w:t>19</w:t>
        </w:r>
        <w:r>
          <w:fldChar w:fldCharType="end"/>
        </w:r>
      </w:p>
    </w:sdtContent>
  </w:sdt>
  <w:p w:rsidR="00D35C3C" w:rsidRDefault="00D950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3C" w:rsidRDefault="00D9505F">
    <w:pPr>
      <w:pStyle w:val="a3"/>
      <w:jc w:val="center"/>
    </w:pPr>
  </w:p>
  <w:p w:rsidR="00D35C3C" w:rsidRDefault="00D950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abstractNum w:abstractNumId="1">
    <w:nsid w:val="78344235"/>
    <w:multiLevelType w:val="hybridMultilevel"/>
    <w:tmpl w:val="4D0C18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E5"/>
    <w:rsid w:val="0007052E"/>
    <w:rsid w:val="003564A2"/>
    <w:rsid w:val="005F0C70"/>
    <w:rsid w:val="009263E5"/>
    <w:rsid w:val="00AD799B"/>
    <w:rsid w:val="00CE22B3"/>
    <w:rsid w:val="00D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2B3"/>
  </w:style>
  <w:style w:type="paragraph" w:styleId="a5">
    <w:name w:val="footnote text"/>
    <w:basedOn w:val="a"/>
    <w:link w:val="a6"/>
    <w:uiPriority w:val="99"/>
    <w:semiHidden/>
    <w:unhideWhenUsed/>
    <w:rsid w:val="00CE22B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E22B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E22B3"/>
    <w:rPr>
      <w:vertAlign w:val="superscript"/>
    </w:rPr>
  </w:style>
  <w:style w:type="paragraph" w:styleId="a8">
    <w:name w:val="List Paragraph"/>
    <w:basedOn w:val="a"/>
    <w:uiPriority w:val="34"/>
    <w:qFormat/>
    <w:rsid w:val="00CE2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2B3"/>
  </w:style>
  <w:style w:type="paragraph" w:styleId="a5">
    <w:name w:val="footnote text"/>
    <w:basedOn w:val="a"/>
    <w:link w:val="a6"/>
    <w:uiPriority w:val="99"/>
    <w:semiHidden/>
    <w:unhideWhenUsed/>
    <w:rsid w:val="00CE22B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E22B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E22B3"/>
    <w:rPr>
      <w:vertAlign w:val="superscript"/>
    </w:rPr>
  </w:style>
  <w:style w:type="paragraph" w:styleId="a8">
    <w:name w:val="List Paragraph"/>
    <w:basedOn w:val="a"/>
    <w:uiPriority w:val="34"/>
    <w:qFormat/>
    <w:rsid w:val="00CE2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2022-04-19T08:18:00Z</dcterms:created>
  <dcterms:modified xsi:type="dcterms:W3CDTF">2022-04-19T08:18:00Z</dcterms:modified>
</cp:coreProperties>
</file>